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DA38" w14:textId="77777777" w:rsidR="003A5E48" w:rsidRDefault="00190FDC">
      <w:pPr>
        <w:tabs>
          <w:tab w:val="left" w:pos="7560"/>
        </w:tabs>
        <w:ind w:right="-1109"/>
        <w:rPr>
          <w:szCs w:val="22"/>
        </w:rPr>
      </w:pPr>
      <w:r>
        <w:object w:dxaOrig="1440" w:dyaOrig="1440" w14:anchorId="3867B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30.85pt;margin-top:-45.45pt;width:320.1pt;height:28.05pt;z-index:251659776;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6" DrawAspect="Content" ObjectID="_1698494163" r:id="rId9"/>
        </w:object>
      </w:r>
      <w:r w:rsidR="006E16BD">
        <w:t>CINQUANTE-ET-UNIÈME SESSION ORDINAIRE</w:t>
      </w:r>
      <w:r w:rsidR="006E16BD">
        <w:tab/>
        <w:t>OEA/Ser.P</w:t>
      </w:r>
    </w:p>
    <w:p w14:paraId="24074A6C" w14:textId="78348221" w:rsidR="003A5E48" w:rsidRDefault="00EC56E6">
      <w:pPr>
        <w:tabs>
          <w:tab w:val="center" w:pos="2160"/>
          <w:tab w:val="left" w:pos="7560"/>
        </w:tabs>
        <w:ind w:right="-1469"/>
        <w:rPr>
          <w:szCs w:val="22"/>
        </w:rPr>
      </w:pPr>
      <w:r>
        <w:t>Du 10 au 12 novembre 2021</w:t>
      </w:r>
      <w:r>
        <w:tab/>
        <w:t>AG/doc.5754/21</w:t>
      </w:r>
    </w:p>
    <w:p w14:paraId="46BECDED" w14:textId="77777777" w:rsidR="003A5E48" w:rsidRDefault="00EC56E6">
      <w:pPr>
        <w:tabs>
          <w:tab w:val="left" w:pos="7560"/>
        </w:tabs>
        <w:ind w:right="-1109"/>
        <w:rPr>
          <w:szCs w:val="22"/>
        </w:rPr>
      </w:pPr>
      <w:r>
        <w:t>Guatemala, République du Guatemala</w:t>
      </w:r>
      <w:r>
        <w:tab/>
        <w:t>12 novembre 2021</w:t>
      </w:r>
    </w:p>
    <w:p w14:paraId="20EEDBE2" w14:textId="458CDBDF" w:rsidR="003A5E48" w:rsidRDefault="00EC56E6">
      <w:pPr>
        <w:tabs>
          <w:tab w:val="center" w:pos="2160"/>
          <w:tab w:val="left" w:pos="7560"/>
        </w:tabs>
        <w:ind w:right="-1109"/>
        <w:rPr>
          <w:szCs w:val="22"/>
        </w:rPr>
      </w:pPr>
      <w:r>
        <w:t>SESSION VIRTUELLE</w:t>
      </w:r>
      <w:r>
        <w:tab/>
      </w:r>
      <w:r>
        <w:tab/>
        <w:t>Original: espagnol</w:t>
      </w:r>
    </w:p>
    <w:p w14:paraId="06763E54" w14:textId="77777777" w:rsidR="003A5E48" w:rsidRPr="00CB2503" w:rsidRDefault="003A5E48" w:rsidP="00CB2503">
      <w:pPr>
        <w:ind w:right="-1109"/>
        <w:rPr>
          <w:szCs w:val="22"/>
          <w:lang w:val="fr-FR"/>
        </w:rPr>
      </w:pPr>
    </w:p>
    <w:p w14:paraId="0141CC19" w14:textId="32737697" w:rsidR="003A5E48" w:rsidRPr="00CB2503" w:rsidRDefault="003A5E48" w:rsidP="00CB2503">
      <w:pPr>
        <w:ind w:right="-1109"/>
        <w:rPr>
          <w:szCs w:val="22"/>
          <w:lang w:val="fr-FR"/>
        </w:rPr>
      </w:pPr>
    </w:p>
    <w:p w14:paraId="12993F86" w14:textId="1C26A1CB" w:rsidR="00CB2503" w:rsidRDefault="00CB2503" w:rsidP="00CB2503">
      <w:pPr>
        <w:ind w:right="-1109"/>
        <w:rPr>
          <w:szCs w:val="22"/>
          <w:lang w:val="fr-FR"/>
        </w:rPr>
      </w:pPr>
    </w:p>
    <w:p w14:paraId="11199F5F" w14:textId="77777777" w:rsidR="00CB2503" w:rsidRPr="00CB2503" w:rsidRDefault="00CB2503" w:rsidP="00CB2503">
      <w:pPr>
        <w:ind w:right="-1109"/>
        <w:rPr>
          <w:szCs w:val="22"/>
          <w:lang w:val="fr-FR"/>
        </w:rPr>
      </w:pPr>
    </w:p>
    <w:p w14:paraId="543F9BAB" w14:textId="77777777" w:rsidR="003A5E48" w:rsidRDefault="00EC56E6" w:rsidP="00CB2503">
      <w:pPr>
        <w:pStyle w:val="Style2"/>
      </w:pPr>
      <w:r>
        <w:t>Projet de résolution</w:t>
      </w:r>
    </w:p>
    <w:p w14:paraId="2743DEFE" w14:textId="77777777" w:rsidR="003A5E48" w:rsidRDefault="003A5E48" w:rsidP="00CB2503">
      <w:pPr>
        <w:pStyle w:val="Style2"/>
      </w:pPr>
    </w:p>
    <w:p w14:paraId="71CE7C7B" w14:textId="77777777" w:rsidR="003A5E48" w:rsidRDefault="00EC56E6" w:rsidP="00CB2503">
      <w:pPr>
        <w:pStyle w:val="Style2"/>
      </w:pPr>
      <w:r>
        <w:t xml:space="preserve">REMERCIEMENTS AU PEUPLE ET AU GOUVERNEMENT DU GUATEMALA </w:t>
      </w:r>
    </w:p>
    <w:p w14:paraId="198A5C18" w14:textId="77777777" w:rsidR="003A5E48" w:rsidRPr="00CB2503" w:rsidRDefault="003A5E48" w:rsidP="00CB2503">
      <w:pPr>
        <w:pStyle w:val="Style2"/>
        <w:rPr>
          <w:lang w:val="fr-FR"/>
        </w:rPr>
      </w:pPr>
    </w:p>
    <w:p w14:paraId="6BFBBD4A" w14:textId="77777777" w:rsidR="003A5E48" w:rsidRDefault="00EC56E6" w:rsidP="00CB2503">
      <w:pPr>
        <w:jc w:val="center"/>
        <w:rPr>
          <w:szCs w:val="22"/>
        </w:rPr>
      </w:pPr>
      <w:r>
        <w:t>(Déposé par la délégation de l’Équateur)</w:t>
      </w:r>
    </w:p>
    <w:p w14:paraId="33999F0B" w14:textId="77777777" w:rsidR="003A5E48" w:rsidRDefault="003A5E48" w:rsidP="00CB2503">
      <w:pPr>
        <w:rPr>
          <w:szCs w:val="22"/>
        </w:rPr>
      </w:pPr>
    </w:p>
    <w:p w14:paraId="277736D9" w14:textId="77777777" w:rsidR="003A5E48" w:rsidRPr="00CB2503" w:rsidRDefault="003A5E48" w:rsidP="00CB2503">
      <w:pPr>
        <w:jc w:val="both"/>
        <w:rPr>
          <w:szCs w:val="22"/>
          <w:lang w:val="fr-FR"/>
        </w:rPr>
      </w:pPr>
    </w:p>
    <w:p w14:paraId="237FF21C" w14:textId="77777777" w:rsidR="003A5E48" w:rsidRDefault="00EC56E6" w:rsidP="00CB2503">
      <w:pPr>
        <w:ind w:right="-29" w:firstLine="720"/>
        <w:jc w:val="both"/>
        <w:rPr>
          <w:noProof/>
          <w:szCs w:val="22"/>
        </w:rPr>
      </w:pPr>
      <w:r>
        <w:t>L'ASSEMBLÉE GÉNÉRALE,</w:t>
      </w:r>
    </w:p>
    <w:p w14:paraId="7E77D663" w14:textId="77777777" w:rsidR="003A5E48" w:rsidRPr="00CB2503" w:rsidRDefault="003A5E48" w:rsidP="00CB2503">
      <w:pPr>
        <w:ind w:right="-29"/>
        <w:jc w:val="both"/>
        <w:outlineLvl w:val="0"/>
        <w:rPr>
          <w:noProof/>
          <w:szCs w:val="22"/>
          <w:lang w:val="fr-FR"/>
        </w:rPr>
      </w:pPr>
    </w:p>
    <w:p w14:paraId="56689956" w14:textId="77777777" w:rsidR="003A5E48" w:rsidRDefault="00EC56E6" w:rsidP="00CB2503">
      <w:pPr>
        <w:jc w:val="both"/>
        <w:rPr>
          <w:szCs w:val="22"/>
        </w:rPr>
      </w:pPr>
      <w:r>
        <w:t>CONSIDÉRANT :</w:t>
      </w:r>
    </w:p>
    <w:p w14:paraId="05CF5E60" w14:textId="77777777" w:rsidR="003A5E48" w:rsidRPr="00CB2503" w:rsidRDefault="003A5E48" w:rsidP="00CB2503">
      <w:pPr>
        <w:jc w:val="both"/>
        <w:rPr>
          <w:rFonts w:eastAsia="SimSun"/>
          <w:szCs w:val="22"/>
          <w:lang w:val="fr-FR"/>
        </w:rPr>
      </w:pPr>
    </w:p>
    <w:p w14:paraId="7F642C16" w14:textId="77777777" w:rsidR="003A5E48" w:rsidRDefault="00EC56E6" w:rsidP="00CB2503">
      <w:pPr>
        <w:jc w:val="both"/>
        <w:rPr>
          <w:szCs w:val="22"/>
        </w:rPr>
      </w:pPr>
      <w:r>
        <w:tab/>
        <w:t>Que la cinquante-et-unième session ordinaire de l’Assemblée générale de l’Organisation des États Américains s'est déroulée en mode virtuel à Guatemala (République du Guatemala) du 10 au 12 novembre 2021 ;</w:t>
      </w:r>
    </w:p>
    <w:p w14:paraId="40FC566E" w14:textId="77777777" w:rsidR="003A5E48" w:rsidRPr="00CB2503" w:rsidRDefault="003A5E48" w:rsidP="00CB2503">
      <w:pPr>
        <w:jc w:val="both"/>
        <w:rPr>
          <w:szCs w:val="22"/>
          <w:lang w:val="fr-FR"/>
        </w:rPr>
      </w:pPr>
    </w:p>
    <w:p w14:paraId="2B8C9F57" w14:textId="615F71AE" w:rsidR="003A5E48" w:rsidRDefault="00EC56E6" w:rsidP="00CB2503">
      <w:pPr>
        <w:ind w:firstLine="720"/>
        <w:jc w:val="both"/>
      </w:pPr>
      <w:r>
        <w:t xml:space="preserve">Qu’au cours de la cinquante-et-unième session ordinaire de l’Assemblée générale, les délégations ont souligné leur profonde reconnaissance à Son Excellence l’Ambassadeur Pedro Brolo Vila, Ministre des relations extérieures de la République du Guatemala, pour la maîtrise avec laquelle il a assumé la direction des débats, </w:t>
      </w:r>
      <w:r w:rsidR="000C4094">
        <w:t xml:space="preserve">ce </w:t>
      </w:r>
      <w:r>
        <w:t xml:space="preserve">qui </w:t>
      </w:r>
      <w:r w:rsidR="000C4094">
        <w:t xml:space="preserve">a </w:t>
      </w:r>
      <w:r>
        <w:t>donné lieu à l’adoption d’importantes déclarations et résolutions portant sur des questions revêtant une haute priorité pour le programme continental,</w:t>
      </w:r>
    </w:p>
    <w:p w14:paraId="4CC99D3A" w14:textId="77777777" w:rsidR="003A5E48" w:rsidRDefault="003A5E48" w:rsidP="00CB2503">
      <w:pPr>
        <w:jc w:val="both"/>
        <w:outlineLvl w:val="0"/>
        <w:rPr>
          <w:szCs w:val="22"/>
        </w:rPr>
      </w:pPr>
      <w:bookmarkStart w:id="0" w:name="_Toc200283626"/>
      <w:bookmarkStart w:id="1" w:name="_Toc200283801"/>
    </w:p>
    <w:p w14:paraId="6DA1A4FE" w14:textId="77777777" w:rsidR="003A5E48" w:rsidRDefault="00EC56E6" w:rsidP="00CB2503">
      <w:pPr>
        <w:ind w:firstLine="720"/>
        <w:jc w:val="both"/>
        <w:rPr>
          <w:szCs w:val="22"/>
        </w:rPr>
      </w:pPr>
      <w:r>
        <w:t xml:space="preserve">SOULIGNANT l’accueil chaleureux du peuple et du Gouvernement guatémaltèques, </w:t>
      </w:r>
    </w:p>
    <w:bookmarkEnd w:id="0"/>
    <w:bookmarkEnd w:id="1"/>
    <w:p w14:paraId="6D4385D4" w14:textId="77777777" w:rsidR="003A5E48" w:rsidRPr="00CB2503" w:rsidRDefault="003A5E48" w:rsidP="00CB2503">
      <w:pPr>
        <w:jc w:val="both"/>
        <w:outlineLvl w:val="0"/>
        <w:rPr>
          <w:szCs w:val="22"/>
          <w:lang w:val="fr-FR"/>
        </w:rPr>
      </w:pPr>
    </w:p>
    <w:p w14:paraId="52720309" w14:textId="77777777" w:rsidR="003A5E48" w:rsidRDefault="00EC56E6" w:rsidP="00CB2503">
      <w:pPr>
        <w:jc w:val="both"/>
        <w:rPr>
          <w:szCs w:val="22"/>
        </w:rPr>
      </w:pPr>
      <w:r>
        <w:t>DÉCIDE :</w:t>
      </w:r>
    </w:p>
    <w:p w14:paraId="7AEB5532" w14:textId="77777777" w:rsidR="003A5E48" w:rsidRDefault="003A5E48" w:rsidP="00CB2503">
      <w:pPr>
        <w:jc w:val="both"/>
        <w:rPr>
          <w:szCs w:val="22"/>
        </w:rPr>
      </w:pPr>
    </w:p>
    <w:p w14:paraId="313052B4" w14:textId="77777777" w:rsidR="003A5E48" w:rsidRDefault="00EC56E6" w:rsidP="00CB2503">
      <w:pPr>
        <w:numPr>
          <w:ilvl w:val="0"/>
          <w:numId w:val="2"/>
        </w:numPr>
        <w:tabs>
          <w:tab w:val="clear" w:pos="1080"/>
        </w:tabs>
        <w:ind w:left="0" w:firstLine="720"/>
        <w:jc w:val="both"/>
        <w:rPr>
          <w:szCs w:val="22"/>
        </w:rPr>
      </w:pPr>
      <w:r>
        <w:t>D’exprimer ses remerciements à Son Excellence Alejandro Giammattei, Président de la République du Guatemala, et tout particulièrement au peuple guatémaltèque, pour la chaleureuse et généreuse hospitalité exprimée à l'endroit des participants de la cinquante-et-unième session ordinaire de l'Assemblée générale.</w:t>
      </w:r>
    </w:p>
    <w:p w14:paraId="25E1A0D4" w14:textId="77777777" w:rsidR="003A5E48" w:rsidRPr="00CB2503" w:rsidRDefault="003A5E48" w:rsidP="00CB2503">
      <w:pPr>
        <w:jc w:val="both"/>
        <w:rPr>
          <w:szCs w:val="22"/>
          <w:lang w:val="fr-FR"/>
        </w:rPr>
      </w:pPr>
    </w:p>
    <w:p w14:paraId="5BE3ABE5" w14:textId="77777777" w:rsidR="003A5E48" w:rsidRDefault="00EC56E6" w:rsidP="00CB2503">
      <w:pPr>
        <w:numPr>
          <w:ilvl w:val="0"/>
          <w:numId w:val="2"/>
        </w:numPr>
        <w:tabs>
          <w:tab w:val="clear" w:pos="1080"/>
        </w:tabs>
        <w:ind w:left="0" w:firstLine="720"/>
        <w:jc w:val="both"/>
        <w:rPr>
          <w:szCs w:val="22"/>
        </w:rPr>
      </w:pPr>
      <w:r>
        <w:t>D’exprimer sa reconnaissance et ses félicitations à Son Excellence l’Ambassadeur Pedro Brolo Vila, Ministre des relations extérieures de la République du Guatemala, pour la tâche remarquable qu’il a accomplie en qualité de Président de la cinquante-et-unième session ordinaire de l'Assemblée générale.</w:t>
      </w:r>
    </w:p>
    <w:p w14:paraId="484669F3" w14:textId="77777777" w:rsidR="003A5E48" w:rsidRPr="00CB2503" w:rsidRDefault="003A5E48" w:rsidP="00CB2503">
      <w:pPr>
        <w:jc w:val="both"/>
        <w:rPr>
          <w:szCs w:val="22"/>
          <w:lang w:val="fr-FR"/>
        </w:rPr>
      </w:pPr>
    </w:p>
    <w:p w14:paraId="1E186E79" w14:textId="77777777" w:rsidR="00190FDC" w:rsidRDefault="00190FDC">
      <w:r>
        <w:br w:type="page"/>
      </w:r>
    </w:p>
    <w:p w14:paraId="5ED0CA93" w14:textId="5F56C034" w:rsidR="003A5E48" w:rsidRDefault="00EC56E6" w:rsidP="00CB2503">
      <w:pPr>
        <w:numPr>
          <w:ilvl w:val="0"/>
          <w:numId w:val="2"/>
        </w:numPr>
        <w:tabs>
          <w:tab w:val="clear" w:pos="1080"/>
        </w:tabs>
        <w:ind w:left="0" w:firstLine="720"/>
        <w:jc w:val="both"/>
        <w:rPr>
          <w:szCs w:val="22"/>
        </w:rPr>
      </w:pPr>
      <w:r>
        <w:lastRenderedPageBreak/>
        <w:t>D’exprimer sa reconnaissance et sa gratitude à l’Ambassadrice Rita Claverie de Sciolli, Représentante permanente du Guatemala près l’Organisation des États Américains (OEA), aux membres de la Mission permanente du Guatemala ainsi qu’aux fonctionnaires du ministère des relations extérieures guatémaltèque qui, avec beaucoup d’efficacité, de dévouement et de professionnalisme, ont contribué au déroulement fructueux de la cinquante-et-unième session ordinaire de l'Assemblée générale.</w:t>
      </w:r>
    </w:p>
    <w:p w14:paraId="2E28436A" w14:textId="77777777" w:rsidR="00836BAC" w:rsidRPr="00CB2503" w:rsidRDefault="00836BAC" w:rsidP="00CB2503">
      <w:pPr>
        <w:jc w:val="both"/>
        <w:rPr>
          <w:szCs w:val="22"/>
          <w:lang w:val="fr-FR"/>
        </w:rPr>
      </w:pPr>
    </w:p>
    <w:p w14:paraId="47A0787C" w14:textId="77777777" w:rsidR="00190FDC" w:rsidRDefault="00EC56E6" w:rsidP="00CB2503">
      <w:pPr>
        <w:numPr>
          <w:ilvl w:val="0"/>
          <w:numId w:val="2"/>
        </w:numPr>
        <w:tabs>
          <w:tab w:val="clear" w:pos="1080"/>
        </w:tabs>
        <w:ind w:left="0" w:firstLine="720"/>
        <w:jc w:val="both"/>
      </w:pPr>
      <w:r>
        <w:t>De témoigner sa reconnaissance pour le travail accompli par le Secrétariat général de l’OEA en vue du succès de la cinquante-et-unième session ordinaire de l’Assemblée générale.</w:t>
      </w:r>
    </w:p>
    <w:p w14:paraId="723B059C" w14:textId="77777777" w:rsidR="00190FDC" w:rsidRDefault="00190FDC" w:rsidP="00190FDC">
      <w:pPr>
        <w:pStyle w:val="ListParagraph"/>
      </w:pPr>
    </w:p>
    <w:p w14:paraId="76265A6B" w14:textId="51F5DF0A" w:rsidR="003A5E48" w:rsidRDefault="006E16BD" w:rsidP="00190FDC">
      <w:pPr>
        <w:ind w:left="720"/>
        <w:jc w:val="both"/>
      </w:pPr>
      <w:r>
        <w:rPr>
          <w:noProof/>
        </w:rPr>
        <mc:AlternateContent>
          <mc:Choice Requires="wps">
            <w:drawing>
              <wp:anchor distT="0" distB="0" distL="114300" distR="114300" simplePos="0" relativeHeight="251660800" behindDoc="0" locked="1" layoutInCell="1" allowOverlap="1" wp14:anchorId="3F2A9917" wp14:editId="5266EF44">
                <wp:simplePos x="0" y="0"/>
                <wp:positionH relativeFrom="column">
                  <wp:posOffset>-139065</wp:posOffset>
                </wp:positionH>
                <wp:positionV relativeFrom="page">
                  <wp:posOffset>9528810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C73B6D2" w14:textId="27263A42" w:rsidR="006E16BD" w:rsidRPr="006E16BD" w:rsidRDefault="006E16BD">
                            <w:pPr>
                              <w:rPr>
                                <w:sz w:val="18"/>
                              </w:rPr>
                            </w:pPr>
                            <w:r>
                              <w:rPr>
                                <w:sz w:val="18"/>
                              </w:rPr>
                              <w:fldChar w:fldCharType="begin"/>
                            </w:r>
                            <w:r>
                              <w:rPr>
                                <w:sz w:val="18"/>
                              </w:rPr>
                              <w:instrText xml:space="preserve"> FILENAME  \* MERGEFORMAT </w:instrText>
                            </w:r>
                            <w:r>
                              <w:rPr>
                                <w:sz w:val="18"/>
                              </w:rPr>
                              <w:fldChar w:fldCharType="separate"/>
                            </w:r>
                            <w:r>
                              <w:rPr>
                                <w:sz w:val="18"/>
                              </w:rPr>
                              <w:t>AG08450</w:t>
                            </w:r>
                            <w:r w:rsidR="00CB2503">
                              <w:rPr>
                                <w:sz w:val="18"/>
                              </w:rPr>
                              <w:t>F</w:t>
                            </w:r>
                            <w:r>
                              <w:rPr>
                                <w:sz w:val="18"/>
                              </w:rPr>
                              <w:t>0</w:t>
                            </w:r>
                            <w:r w:rsidR="00CB2503">
                              <w:rPr>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2A9917" id="_x0000_t202" coordsize="21600,21600" o:spt="202" path="m,l,21600r21600,l21600,xe">
                <v:stroke joinstyle="miter"/>
                <v:path gradientshapeok="t" o:connecttype="rect"/>
              </v:shapetype>
              <v:shape id="Text Box 1" o:spid="_x0000_s1026" type="#_x0000_t202" style="position:absolute;left:0;text-align:left;margin-left:-10.95pt;margin-top:750.3pt;width:266.4pt;height:18pt;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" filled="f" stroked="f">
                <v:stroke joinstyle="round"/>
                <v:textbox>
                  <w:txbxContent>
                    <w:p w14:paraId="4C73B6D2" w14:textId="27263A42" w:rsidR="006E16BD" w:rsidRPr="006E16BD" w:rsidRDefault="006E16BD">
                      <w:pPr>
                        <w:rPr>
                          <w:sz w:val="18"/>
                        </w:rPr>
                      </w:pPr>
                      <w:r>
                        <w:rPr>
                          <w:sz w:val="18"/>
                        </w:rPr>
                        <w:fldChar w:fldCharType="begin"/>
                      </w:r>
                      <w:r>
                        <w:rPr>
                          <w:sz w:val="18"/>
                        </w:rPr>
                        <w:instrText xml:space="preserve"> FILENAME  \* MERGEFORMAT </w:instrText>
                      </w:r>
                      <w:r>
                        <w:rPr>
                          <w:sz w:val="18"/>
                        </w:rPr>
                        <w:fldChar w:fldCharType="separate"/>
                      </w:r>
                      <w:r>
                        <w:rPr>
                          <w:sz w:val="18"/>
                        </w:rPr>
                        <w:t>AG08450</w:t>
                      </w:r>
                      <w:r w:rsidR="00CB2503">
                        <w:rPr>
                          <w:sz w:val="18"/>
                        </w:rPr>
                        <w:t>F</w:t>
                      </w:r>
                      <w:r>
                        <w:rPr>
                          <w:sz w:val="18"/>
                        </w:rPr>
                        <w:t>0</w:t>
                      </w:r>
                      <w:r w:rsidR="00CB2503">
                        <w:rPr>
                          <w:sz w:val="18"/>
                        </w:rPr>
                        <w:t>4</w:t>
                      </w:r>
                      <w:r>
                        <w:rPr>
                          <w:sz w:val="18"/>
                        </w:rPr>
                        <w:fldChar w:fldCharType="end"/>
                      </w:r>
                    </w:p>
                  </w:txbxContent>
                </v:textbox>
                <w10:wrap anchory="page"/>
                <w10:anchorlock/>
              </v:shape>
            </w:pict>
          </mc:Fallback>
        </mc:AlternateContent>
      </w:r>
    </w:p>
    <w:p w14:paraId="607A6C94" w14:textId="79A1ED8E" w:rsidR="00190FDC" w:rsidRPr="00190FDC" w:rsidRDefault="00190FDC" w:rsidP="00190FDC"/>
    <w:p w14:paraId="54235CD1" w14:textId="6BAC9E0E" w:rsidR="00190FDC" w:rsidRPr="00190FDC" w:rsidRDefault="00190FDC" w:rsidP="00190FDC"/>
    <w:p w14:paraId="58388103" w14:textId="0ABA28BC" w:rsidR="00190FDC" w:rsidRPr="00190FDC" w:rsidRDefault="00190FDC" w:rsidP="00190FDC"/>
    <w:p w14:paraId="22B96334" w14:textId="3D1F907E" w:rsidR="00190FDC" w:rsidRPr="00190FDC" w:rsidRDefault="00190FDC" w:rsidP="00190FDC"/>
    <w:p w14:paraId="7EF6FA00" w14:textId="63E1D619" w:rsidR="00190FDC" w:rsidRPr="00190FDC" w:rsidRDefault="00190FDC" w:rsidP="00190FDC"/>
    <w:p w14:paraId="69DF5FE9" w14:textId="396F5DE3" w:rsidR="00190FDC" w:rsidRPr="00190FDC" w:rsidRDefault="00190FDC" w:rsidP="00190FDC"/>
    <w:p w14:paraId="0071AB0E" w14:textId="23BBE68B" w:rsidR="00190FDC" w:rsidRPr="00190FDC" w:rsidRDefault="00190FDC" w:rsidP="00190FDC"/>
    <w:p w14:paraId="7A882DA6" w14:textId="554C25C3" w:rsidR="00190FDC" w:rsidRPr="00190FDC" w:rsidRDefault="00190FDC" w:rsidP="00190FDC"/>
    <w:p w14:paraId="65519403" w14:textId="05A81FB2" w:rsidR="00190FDC" w:rsidRPr="00190FDC" w:rsidRDefault="00190FDC" w:rsidP="00190FDC"/>
    <w:p w14:paraId="1DD492A8" w14:textId="7F0B0A33" w:rsidR="00190FDC" w:rsidRPr="00190FDC" w:rsidRDefault="00190FDC" w:rsidP="00190FDC"/>
    <w:p w14:paraId="65933831" w14:textId="5BDF9EC5" w:rsidR="00190FDC" w:rsidRPr="00190FDC" w:rsidRDefault="00190FDC" w:rsidP="00190FDC"/>
    <w:p w14:paraId="2CDAC5C8" w14:textId="5FE257CE" w:rsidR="00190FDC" w:rsidRPr="00190FDC" w:rsidRDefault="00190FDC" w:rsidP="00190FDC"/>
    <w:p w14:paraId="094F64FD" w14:textId="45E1E7A5" w:rsidR="00190FDC" w:rsidRPr="00190FDC" w:rsidRDefault="00190FDC" w:rsidP="00190FDC"/>
    <w:p w14:paraId="06808574" w14:textId="0B8C64D2" w:rsidR="00190FDC" w:rsidRPr="00190FDC" w:rsidRDefault="00190FDC" w:rsidP="00190FDC"/>
    <w:p w14:paraId="2404902D" w14:textId="5E1BD78D" w:rsidR="00190FDC" w:rsidRPr="00190FDC" w:rsidRDefault="00190FDC" w:rsidP="00190FDC"/>
    <w:p w14:paraId="6D2927D1" w14:textId="5EE976D5" w:rsidR="00190FDC" w:rsidRPr="00190FDC" w:rsidRDefault="00190FDC" w:rsidP="00190FDC"/>
    <w:p w14:paraId="3D80B799" w14:textId="0E1049D8" w:rsidR="00190FDC" w:rsidRPr="00190FDC" w:rsidRDefault="00190FDC" w:rsidP="00190FDC"/>
    <w:p w14:paraId="21ED8E1B" w14:textId="317162D9" w:rsidR="00190FDC" w:rsidRPr="00190FDC" w:rsidRDefault="00190FDC" w:rsidP="00190FDC"/>
    <w:p w14:paraId="65E9EBC8" w14:textId="5A074666" w:rsidR="00190FDC" w:rsidRPr="00190FDC" w:rsidRDefault="00190FDC" w:rsidP="00190FDC"/>
    <w:p w14:paraId="6424A2BA" w14:textId="6C839415" w:rsidR="00190FDC" w:rsidRPr="00190FDC" w:rsidRDefault="00190FDC" w:rsidP="00190FDC"/>
    <w:p w14:paraId="0ED4D3A8" w14:textId="15C88869" w:rsidR="00190FDC" w:rsidRPr="00190FDC" w:rsidRDefault="00190FDC" w:rsidP="00190FDC"/>
    <w:p w14:paraId="4925D659" w14:textId="4B9CE2A2" w:rsidR="00190FDC" w:rsidRPr="00190FDC" w:rsidRDefault="00190FDC" w:rsidP="00190FDC"/>
    <w:p w14:paraId="5CAF3392" w14:textId="485A5642" w:rsidR="00190FDC" w:rsidRPr="00190FDC" w:rsidRDefault="00190FDC" w:rsidP="00190FDC"/>
    <w:p w14:paraId="4CAC033C" w14:textId="7E04E5CA" w:rsidR="00190FDC" w:rsidRDefault="00190FDC" w:rsidP="00190FDC"/>
    <w:p w14:paraId="1CF08426" w14:textId="520A72C1" w:rsidR="00190FDC" w:rsidRDefault="00190FDC" w:rsidP="00190FDC"/>
    <w:p w14:paraId="75E144DB" w14:textId="5E1B713B" w:rsidR="00190FDC" w:rsidRPr="00190FDC" w:rsidRDefault="00190FDC" w:rsidP="00190FDC">
      <w:pPr>
        <w:tabs>
          <w:tab w:val="left" w:pos="1005"/>
        </w:tabs>
      </w:pPr>
      <w:r>
        <w:tab/>
      </w:r>
    </w:p>
    <w:sectPr w:rsidR="00190FDC" w:rsidRPr="00190FDC" w:rsidSect="00CB2503">
      <w:headerReference w:type="default" r:id="rId10"/>
      <w:footerReference w:type="default" r:id="rId11"/>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CFCF" w14:textId="77777777" w:rsidR="00657C29" w:rsidRDefault="00657C29">
      <w:r>
        <w:separator/>
      </w:r>
    </w:p>
  </w:endnote>
  <w:endnote w:type="continuationSeparator" w:id="0">
    <w:p w14:paraId="7F32515C" w14:textId="77777777" w:rsidR="00657C29" w:rsidRDefault="0065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9252" w14:textId="554B9E77" w:rsidR="00190FDC" w:rsidRDefault="00190FDC">
    <w:pPr>
      <w:pStyle w:val="Footer"/>
    </w:pPr>
    <w:r>
      <w:rPr>
        <w:noProof/>
      </w:rPr>
      <w:drawing>
        <wp:anchor distT="0" distB="0" distL="114300" distR="114300" simplePos="0" relativeHeight="251658240" behindDoc="0" locked="0" layoutInCell="1" allowOverlap="1" wp14:anchorId="7FD0E554" wp14:editId="3EB1BA67">
          <wp:simplePos x="0" y="0"/>
          <wp:positionH relativeFrom="column">
            <wp:posOffset>5160010</wp:posOffset>
          </wp:positionH>
          <wp:positionV relativeFrom="paragraph">
            <wp:posOffset>31115</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74FE" w14:textId="77777777" w:rsidR="00657C29" w:rsidRDefault="00657C29">
      <w:r>
        <w:separator/>
      </w:r>
    </w:p>
  </w:footnote>
  <w:footnote w:type="continuationSeparator" w:id="0">
    <w:p w14:paraId="4615A27F" w14:textId="77777777" w:rsidR="00657C29" w:rsidRDefault="0065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891D" w14:textId="11D6D750" w:rsidR="00CB2503" w:rsidRPr="00CB2503" w:rsidRDefault="00CB2503">
    <w:pPr>
      <w:pStyle w:val="Header"/>
      <w:jc w:val="center"/>
      <w:rPr>
        <w:szCs w:val="22"/>
      </w:rPr>
    </w:pPr>
    <w:r w:rsidRPr="00CB2503">
      <w:rPr>
        <w:szCs w:val="22"/>
      </w:rPr>
      <w:t xml:space="preserve">- </w:t>
    </w:r>
    <w:sdt>
      <w:sdtPr>
        <w:rPr>
          <w:szCs w:val="22"/>
        </w:rPr>
        <w:id w:val="283324468"/>
        <w:docPartObj>
          <w:docPartGallery w:val="Page Numbers (Top of Page)"/>
          <w:docPartUnique/>
        </w:docPartObj>
      </w:sdtPr>
      <w:sdtEndPr>
        <w:rPr>
          <w:noProof/>
        </w:rPr>
      </w:sdtEndPr>
      <w:sdtContent>
        <w:r w:rsidRPr="00CB2503">
          <w:rPr>
            <w:szCs w:val="22"/>
          </w:rPr>
          <w:fldChar w:fldCharType="begin"/>
        </w:r>
        <w:r w:rsidRPr="00CB2503">
          <w:rPr>
            <w:szCs w:val="22"/>
          </w:rPr>
          <w:instrText xml:space="preserve"> PAGE   \* MERGEFORMAT </w:instrText>
        </w:r>
        <w:r w:rsidRPr="00CB2503">
          <w:rPr>
            <w:szCs w:val="22"/>
          </w:rPr>
          <w:fldChar w:fldCharType="separate"/>
        </w:r>
        <w:r w:rsidRPr="00CB2503">
          <w:rPr>
            <w:noProof/>
            <w:szCs w:val="22"/>
          </w:rPr>
          <w:t>2</w:t>
        </w:r>
        <w:r w:rsidRPr="00CB2503">
          <w:rPr>
            <w:noProof/>
            <w:szCs w:val="22"/>
          </w:rPr>
          <w:fldChar w:fldCharType="end"/>
        </w:r>
        <w:r w:rsidRPr="00CB2503">
          <w:rPr>
            <w:noProof/>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2B07"/>
    <w:multiLevelType w:val="hybridMultilevel"/>
    <w:tmpl w:val="95FA0FDA"/>
    <w:lvl w:ilvl="0" w:tplc="0409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E6"/>
    <w:rsid w:val="000905D1"/>
    <w:rsid w:val="000C4094"/>
    <w:rsid w:val="00190FDC"/>
    <w:rsid w:val="00271A99"/>
    <w:rsid w:val="003A5E48"/>
    <w:rsid w:val="00484903"/>
    <w:rsid w:val="005A6F86"/>
    <w:rsid w:val="00644DCF"/>
    <w:rsid w:val="00657C29"/>
    <w:rsid w:val="006E16BD"/>
    <w:rsid w:val="00717CBA"/>
    <w:rsid w:val="00836BAC"/>
    <w:rsid w:val="00871873"/>
    <w:rsid w:val="00CB2503"/>
    <w:rsid w:val="00EC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B1EF86C"/>
  <w15:chartTrackingRefBased/>
  <w15:docId w15:val="{A499E0EA-8794-4334-91F2-19AA047D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2">
    <w:name w:val="heading 2"/>
    <w:basedOn w:val="Normal"/>
    <w:next w:val="Normal"/>
    <w:link w:val="Heading2Char"/>
    <w:qFormat/>
    <w:pPr>
      <w:keepNext/>
      <w:spacing w:before="240" w:after="60"/>
      <w:outlineLvl w:val="1"/>
    </w:pPr>
    <w:rPr>
      <w:rFonts w:ascii="Arial" w:eastAsiaTheme="minorEastAsia"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color w:val="2F5496" w:themeColor="accent1" w:themeShade="BF"/>
      <w:sz w:val="26"/>
      <w:szCs w:val="26"/>
      <w:lang w:val="fr-CA"/>
    </w:rPr>
  </w:style>
  <w:style w:type="paragraph" w:customStyle="1" w:styleId="msonormal0">
    <w:name w:val="msonormal"/>
    <w:basedOn w:val="Normal"/>
    <w:pPr>
      <w:spacing w:before="100" w:beforeAutospacing="1" w:after="100" w:afterAutospacing="1"/>
    </w:pPr>
    <w:rPr>
      <w:rFonts w:eastAsiaTheme="minorEastAsia"/>
      <w:sz w:val="24"/>
      <w:szCs w:val="24"/>
    </w:rPr>
  </w:style>
  <w:style w:type="character" w:customStyle="1" w:styleId="HeaderChar">
    <w:name w:val="Header Char"/>
    <w:aliases w:val="encabezado Char"/>
    <w:link w:val="Header"/>
    <w:uiPriority w:val="99"/>
    <w:locked/>
    <w:rPr>
      <w:sz w:val="22"/>
      <w:lang w:val="fr-CA"/>
    </w:rPr>
  </w:style>
  <w:style w:type="paragraph" w:styleId="Header">
    <w:name w:val="header"/>
    <w:aliases w:val="encabezado"/>
    <w:basedOn w:val="Normal"/>
    <w:link w:val="HeaderChar"/>
    <w:uiPriority w:val="99"/>
    <w:pPr>
      <w:tabs>
        <w:tab w:val="center" w:pos="4320"/>
        <w:tab w:val="right" w:pos="8640"/>
      </w:tabs>
    </w:pPr>
  </w:style>
  <w:style w:type="character" w:customStyle="1" w:styleId="HeaderChar1">
    <w:name w:val="Header Char1"/>
    <w:aliases w:val="encabezado Char1"/>
    <w:basedOn w:val="DefaultParagraphFont"/>
    <w:uiPriority w:val="99"/>
    <w:rPr>
      <w:sz w:val="22"/>
      <w:lang w:val="fr-CA"/>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sz w:val="22"/>
      <w:lang w:val="fr-CA"/>
    </w:rPr>
  </w:style>
  <w:style w:type="paragraph" w:styleId="EndnoteText">
    <w:name w:val="endnote text"/>
    <w:basedOn w:val="Normal"/>
    <w:link w:val="EndnoteTextChar"/>
    <w:rPr>
      <w:sz w:val="20"/>
    </w:rPr>
  </w:style>
  <w:style w:type="character" w:customStyle="1" w:styleId="EndnoteTextChar">
    <w:name w:val="Endnote Text Char"/>
    <w:link w:val="EndnoteText"/>
    <w:locked/>
    <w:rPr>
      <w:lang w:val="fr-CA"/>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locked/>
    <w:rPr>
      <w:rFonts w:ascii="Segoe UI" w:hAnsi="Segoe UI" w:cs="Segoe UI" w:hint="default"/>
      <w:sz w:val="18"/>
      <w:szCs w:val="18"/>
      <w:lang w:val="fr-CA"/>
    </w:rPr>
  </w:style>
  <w:style w:type="paragraph" w:styleId="ListParagraph">
    <w:name w:val="List Paragraph"/>
    <w:basedOn w:val="Normal"/>
    <w:uiPriority w:val="34"/>
    <w:qFormat/>
    <w:pPr>
      <w:ind w:left="720"/>
    </w:pPr>
  </w:style>
  <w:style w:type="character" w:customStyle="1" w:styleId="Style2Char">
    <w:name w:val="Style2 Char"/>
    <w:link w:val="Style2"/>
    <w:locked/>
    <w:rPr>
      <w:iCs/>
      <w:caps/>
      <w:sz w:val="22"/>
      <w:szCs w:val="22"/>
      <w:lang w:val="fr-CA" w:eastAsia="en-US" w:bidi="ar-SA"/>
    </w:rPr>
  </w:style>
  <w:style w:type="paragraph" w:customStyle="1" w:styleId="Style2">
    <w:name w:val="Style2"/>
    <w:basedOn w:val="Heading2"/>
    <w:link w:val="Style2Char"/>
    <w:autoRedefine/>
    <w:pPr>
      <w:keepNext w:val="0"/>
      <w:spacing w:before="0" w:after="0"/>
      <w:jc w:val="center"/>
    </w:pPr>
    <w:rPr>
      <w:rFonts w:ascii="Times New Roman" w:eastAsia="Times New Roman" w:hAnsi="Times New Roman" w:cs="Times New Roman"/>
      <w:b w:val="0"/>
      <w:bCs w:val="0"/>
      <w:i w:val="0"/>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A43F4-545C-4790-8E5C-9654D2B8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PROYECTO DE RESOLUCION</vt:lpstr>
    </vt:vector>
  </TitlesOfParts>
  <Company>OAS</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RESOLUCION</dc:title>
  <dc:subject/>
  <dc:creator>Cortes, Rodrigo</dc:creator>
  <cp:keywords/>
  <dc:description/>
  <cp:lastModifiedBy>Mayorga, Georgina</cp:lastModifiedBy>
  <cp:revision>5</cp:revision>
  <cp:lastPrinted>2016-06-15T02:38:00Z</cp:lastPrinted>
  <dcterms:created xsi:type="dcterms:W3CDTF">2021-11-15T17:47:00Z</dcterms:created>
  <dcterms:modified xsi:type="dcterms:W3CDTF">2021-11-15T20:10:00Z</dcterms:modified>
</cp:coreProperties>
</file>